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E66D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810141" w:rsidRPr="0032699C" w:rsidRDefault="00940B90" w:rsidP="0032699C">
            <w:pPr>
              <w:tabs>
                <w:tab w:val="left" w:pos="992"/>
              </w:tabs>
              <w:ind w:left="57" w:right="57"/>
            </w:pPr>
            <w:r w:rsidRPr="0032699C">
              <w:t xml:space="preserve">   </w:t>
            </w:r>
            <w:r w:rsidR="0032699C" w:rsidRPr="0032699C">
              <w:tab/>
            </w:r>
          </w:p>
          <w:p w:rsidR="00366E73" w:rsidRPr="00366E73" w:rsidRDefault="00366E73" w:rsidP="00366E73">
            <w:pPr>
              <w:numPr>
                <w:ilvl w:val="0"/>
                <w:numId w:val="12"/>
              </w:numPr>
              <w:autoSpaceDE/>
              <w:autoSpaceDN/>
              <w:jc w:val="both"/>
            </w:pPr>
            <w:r w:rsidRPr="00366E73">
              <w:t xml:space="preserve">Утвердить новые редакции (в предложенных вариантах) внутренних положений Банка РМП (ПАО), а именно: 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</w:pPr>
            <w:r w:rsidRPr="00366E73">
              <w:t>-</w:t>
            </w:r>
            <w:r w:rsidRPr="00366E73">
              <w:rPr>
                <w:rFonts w:ascii="Inherit" w:hAnsi="Inherit"/>
                <w:color w:val="000000"/>
              </w:rPr>
              <w:t>Стратегии управления рисками и капиталом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t>-</w:t>
            </w:r>
            <w:r w:rsidRPr="00366E73">
              <w:rPr>
                <w:rFonts w:ascii="Inherit" w:hAnsi="Inherit"/>
                <w:color w:val="000000"/>
              </w:rPr>
              <w:t>Положения о внутренних процедурах управления рисками и оценки достаточности капитала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 системе и контроле лимитов риска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 кредитном риске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об управлении и оценке ликвидности Банка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об основных принципах управления операционным риском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 рыночном риске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 фондовом риске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 валютном риске в Банке РМП (ПАО);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left="360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 процентном риске в Банке РМП (ПАО).</w:t>
            </w:r>
          </w:p>
          <w:p w:rsidR="00366E73" w:rsidRDefault="00366E73" w:rsidP="00366E73">
            <w:pPr>
              <w:ind w:firstLine="426"/>
              <w:jc w:val="both"/>
            </w:pPr>
            <w:r w:rsidRPr="00366E73">
              <w:t xml:space="preserve">  </w:t>
            </w:r>
          </w:p>
          <w:p w:rsidR="00366E73" w:rsidRPr="00366E73" w:rsidRDefault="00366E73" w:rsidP="00366E73">
            <w:pPr>
              <w:ind w:firstLine="426"/>
              <w:jc w:val="both"/>
            </w:pPr>
            <w:r w:rsidRPr="00366E73">
              <w:t xml:space="preserve">2. Отменить  действие внутренних документов банка: </w:t>
            </w:r>
          </w:p>
          <w:p w:rsidR="00366E73" w:rsidRPr="00366E73" w:rsidRDefault="00366E73" w:rsidP="00366E73">
            <w:pPr>
              <w:tabs>
                <w:tab w:val="left" w:pos="851"/>
              </w:tabs>
              <w:ind w:firstLine="284"/>
              <w:jc w:val="both"/>
              <w:rPr>
                <w:rFonts w:ascii="Inherit" w:hAnsi="Inherit"/>
                <w:color w:val="000000"/>
              </w:rPr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Политики определения значимых рисков в Банке РМП (ПАО);</w:t>
            </w:r>
          </w:p>
          <w:p w:rsidR="00366E73" w:rsidRPr="00366E73" w:rsidRDefault="00366E73" w:rsidP="00366E73">
            <w:pPr>
              <w:ind w:firstLine="284"/>
            </w:pPr>
            <w:r w:rsidRPr="00366E73">
              <w:rPr>
                <w:rFonts w:ascii="Inherit" w:hAnsi="Inherit"/>
                <w:color w:val="000000"/>
              </w:rPr>
              <w:t>-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366E73">
              <w:rPr>
                <w:rFonts w:ascii="Inherit" w:hAnsi="Inherit"/>
                <w:color w:val="000000"/>
              </w:rPr>
              <w:t>Положения об определении совокупного и необходимого объема капитала в Банке РМП (ПАО).</w:t>
            </w:r>
          </w:p>
          <w:p w:rsidR="00366E73" w:rsidRDefault="00366E73" w:rsidP="00366E73">
            <w:pPr>
              <w:tabs>
                <w:tab w:val="left" w:pos="5912"/>
              </w:tabs>
              <w:ind w:left="360"/>
              <w:rPr>
                <w:sz w:val="22"/>
                <w:szCs w:val="22"/>
              </w:rPr>
            </w:pPr>
            <w:r w:rsidRPr="00366E73">
              <w:tab/>
            </w: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C74F2B" w:rsidRPr="00C74F2B">
              <w:t>0</w:t>
            </w:r>
            <w:r w:rsidR="00366E73">
              <w:t>7</w:t>
            </w:r>
            <w:r w:rsidR="003503BD" w:rsidRPr="0032699C">
              <w:t xml:space="preserve"> </w:t>
            </w:r>
            <w:r w:rsidR="00366E73">
              <w:t>июня</w:t>
            </w:r>
            <w:r w:rsidR="0068014C" w:rsidRPr="0032699C">
              <w:t xml:space="preserve"> </w:t>
            </w:r>
            <w:r w:rsidRPr="0032699C">
              <w:t>201</w:t>
            </w:r>
            <w:r w:rsidR="003D235E" w:rsidRPr="0032699C">
              <w:t>9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366E73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C74F2B" w:rsidRPr="00C74F2B">
              <w:t>0</w:t>
            </w:r>
            <w:r w:rsidR="00366E73">
              <w:t>7</w:t>
            </w:r>
            <w:r>
              <w:t xml:space="preserve"> </w:t>
            </w:r>
            <w:r w:rsidR="00366E73">
              <w:t>июня</w:t>
            </w:r>
            <w:r w:rsidR="0032699C">
              <w:t xml:space="preserve"> </w:t>
            </w:r>
            <w:r>
              <w:t>201</w:t>
            </w:r>
            <w:r w:rsidR="0032699C">
              <w:t>9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C74F2B" w:rsidP="00C74F2B">
            <w:pPr>
              <w:jc w:val="center"/>
            </w:pPr>
            <w:r>
              <w:rPr>
                <w:lang w:val="en-US"/>
              </w:rPr>
              <w:t>0</w:t>
            </w:r>
            <w:r w:rsidR="0020530D"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0530D" w:rsidP="0020530D">
            <w:pPr>
              <w:jc w:val="center"/>
            </w:pPr>
            <w:r>
              <w:t>июня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613DD">
            <w:r>
              <w:t>1</w:t>
            </w:r>
            <w:r w:rsidR="00F613DD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764E6"/>
    <w:rsid w:val="000B6419"/>
    <w:rsid w:val="001272AA"/>
    <w:rsid w:val="0015668D"/>
    <w:rsid w:val="001B5319"/>
    <w:rsid w:val="0020530D"/>
    <w:rsid w:val="00223F45"/>
    <w:rsid w:val="002535A0"/>
    <w:rsid w:val="002E4F7E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9E7E87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665FA"/>
    <w:rsid w:val="00DE66D2"/>
    <w:rsid w:val="00DF05C3"/>
    <w:rsid w:val="00E01CCA"/>
    <w:rsid w:val="00E64E34"/>
    <w:rsid w:val="00E676EB"/>
    <w:rsid w:val="00E82765"/>
    <w:rsid w:val="00EB44D4"/>
    <w:rsid w:val="00EB739B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2019-05-31T10:06:00Z</cp:lastPrinted>
  <dcterms:created xsi:type="dcterms:W3CDTF">2019-05-31T14:03:00Z</dcterms:created>
  <dcterms:modified xsi:type="dcterms:W3CDTF">2019-05-31T14:03:00Z</dcterms:modified>
</cp:coreProperties>
</file>