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5811E8"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A45962"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A45962" w:rsidRPr="008C3AA8" w:rsidRDefault="00A45962" w:rsidP="00A4596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10102574В</w:t>
            </w:r>
            <w:proofErr w:type="gramStart"/>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A45962" w:rsidRPr="008C3AA8" w:rsidRDefault="00A45962" w:rsidP="00A45962">
            <w:pPr>
              <w:jc w:val="both"/>
              <w:rPr>
                <w:rFonts w:eastAsia="Times New Roman"/>
                <w:b/>
              </w:rPr>
            </w:pP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proofErr w:type="gramStart"/>
            <w:r w:rsidRPr="008C3AA8">
              <w:rPr>
                <w:b/>
              </w:rPr>
              <w:t xml:space="preserve"> ,</w:t>
            </w:r>
            <w:proofErr w:type="gramEnd"/>
            <w:r w:rsidRPr="008C3AA8">
              <w:rPr>
                <w:b/>
              </w:rPr>
              <w:t xml:space="preserve">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A45962" w:rsidRPr="008C3AA8" w:rsidRDefault="00A45962" w:rsidP="00A4596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proofErr w:type="gramStart"/>
            <w:r w:rsidRPr="008C3AA8">
              <w:rPr>
                <w:b/>
              </w:rPr>
              <w:t>,</w:t>
            </w:r>
            <w:r w:rsidRPr="008C3AA8">
              <w:rPr>
                <w:rFonts w:eastAsia="Times New Roman"/>
                <w:b/>
              </w:rPr>
              <w:t>О</w:t>
            </w:r>
            <w:proofErr w:type="gramEnd"/>
            <w:r w:rsidRPr="008C3AA8">
              <w:rPr>
                <w:rFonts w:eastAsia="Times New Roman"/>
                <w:b/>
              </w:rPr>
              <w:t>тчет об итогах выпуска зарегистрирован – 23.12.1999г.</w:t>
            </w:r>
          </w:p>
          <w:p w:rsidR="00A45962" w:rsidRDefault="00A45962"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участие в</w:t>
            </w:r>
            <w:r w:rsidR="00714849">
              <w:rPr>
                <w:rFonts w:eastAsia="Times New Roman"/>
                <w:b/>
                <w:bCs/>
                <w:color w:val="000000"/>
                <w:bdr w:val="none" w:sz="0" w:space="0" w:color="auto" w:frame="1"/>
              </w:rPr>
              <w:t>о внеочередном</w:t>
            </w:r>
            <w:r w:rsidR="0017453E" w:rsidRPr="0017453E">
              <w:rPr>
                <w:rFonts w:eastAsia="Times New Roman"/>
                <w:b/>
                <w:bCs/>
                <w:color w:val="000000"/>
                <w:bdr w:val="none" w:sz="0" w:space="0" w:color="auto" w:frame="1"/>
              </w:rPr>
              <w:t xml:space="preserve">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D561C4" w:rsidRPr="00D561C4">
              <w:rPr>
                <w:rFonts w:eastAsia="Times New Roman"/>
                <w:b/>
                <w:bCs/>
                <w:color w:val="000000"/>
                <w:bdr w:val="none" w:sz="0" w:space="0" w:color="auto" w:frame="1"/>
              </w:rPr>
              <w:t>28</w:t>
            </w:r>
            <w:r w:rsidRPr="0017453E">
              <w:rPr>
                <w:rFonts w:eastAsia="Times New Roman"/>
                <w:b/>
                <w:bCs/>
                <w:color w:val="000000"/>
                <w:bdr w:val="none" w:sz="0" w:space="0" w:color="auto" w:frame="1"/>
              </w:rPr>
              <w:t>"</w:t>
            </w:r>
            <w:r w:rsidR="0063585B" w:rsidRPr="0063585B">
              <w:rPr>
                <w:rFonts w:eastAsia="Times New Roman"/>
                <w:b/>
                <w:bCs/>
                <w:color w:val="000000"/>
                <w:bdr w:val="none" w:sz="0" w:space="0" w:color="auto" w:frame="1"/>
              </w:rPr>
              <w:t xml:space="preserve"> </w:t>
            </w:r>
            <w:r w:rsidR="00D561C4">
              <w:rPr>
                <w:rFonts w:eastAsia="Times New Roman"/>
                <w:b/>
                <w:bCs/>
                <w:color w:val="000000"/>
                <w:bdr w:val="none" w:sz="0" w:space="0" w:color="auto" w:frame="1"/>
              </w:rPr>
              <w:t>августа</w:t>
            </w:r>
            <w:r w:rsidR="007E5825">
              <w:rPr>
                <w:rFonts w:eastAsia="Times New Roman"/>
                <w:b/>
                <w:bCs/>
                <w:color w:val="000000"/>
                <w:bdr w:val="none" w:sz="0" w:space="0" w:color="auto" w:frame="1"/>
              </w:rPr>
              <w:t xml:space="preserve"> </w:t>
            </w:r>
            <w:r w:rsidRPr="0017453E">
              <w:rPr>
                <w:rFonts w:eastAsia="Times New Roman"/>
                <w:b/>
                <w:bCs/>
                <w:color w:val="000000"/>
                <w:bdr w:val="none" w:sz="0" w:space="0" w:color="auto" w:frame="1"/>
              </w:rPr>
              <w:t>20</w:t>
            </w:r>
            <w:r w:rsidR="0063585B">
              <w:rPr>
                <w:rFonts w:eastAsia="Times New Roman"/>
                <w:b/>
                <w:bCs/>
                <w:color w:val="000000"/>
                <w:bdr w:val="none" w:sz="0" w:space="0" w:color="auto" w:frame="1"/>
              </w:rPr>
              <w:t>20</w:t>
            </w:r>
            <w:r w:rsidRPr="0017453E">
              <w:rPr>
                <w:rFonts w:eastAsia="Times New Roman"/>
                <w:b/>
                <w:bCs/>
                <w:color w:val="000000"/>
                <w:bdr w:val="none" w:sz="0" w:space="0" w:color="auto" w:frame="1"/>
              </w:rPr>
              <w:t xml:space="preserve"> г.</w:t>
            </w:r>
          </w:p>
          <w:p w:rsidR="003C3A9D" w:rsidRPr="00DF05C3" w:rsidRDefault="002848A9" w:rsidP="00BD3002">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w:t>
            </w:r>
            <w:r w:rsidRPr="00A45962">
              <w:rPr>
                <w:rFonts w:eastAsia="Times New Roman"/>
                <w:b/>
                <w:bCs/>
                <w:color w:val="000000"/>
                <w:bdr w:val="none" w:sz="0" w:space="0" w:color="auto" w:frame="1"/>
              </w:rPr>
              <w:t xml:space="preserve">Протокол </w:t>
            </w:r>
            <w:proofErr w:type="gramStart"/>
            <w:r w:rsidRPr="00A45962">
              <w:rPr>
                <w:rFonts w:eastAsia="Times New Roman"/>
                <w:b/>
                <w:bCs/>
                <w:color w:val="000000"/>
                <w:bdr w:val="none" w:sz="0" w:space="0" w:color="auto" w:frame="1"/>
              </w:rPr>
              <w:t>заседания Совета директоров Банка развития</w:t>
            </w:r>
            <w:proofErr w:type="gramEnd"/>
            <w:r w:rsidRPr="00A45962">
              <w:rPr>
                <w:rFonts w:eastAsia="Times New Roman"/>
                <w:b/>
                <w:bCs/>
                <w:color w:val="000000"/>
                <w:bdr w:val="none" w:sz="0" w:space="0" w:color="auto" w:frame="1"/>
              </w:rPr>
              <w:t xml:space="preserve"> и модернизации промышленности (публичное акционерное общество</w:t>
            </w:r>
            <w:r w:rsidR="0017453E" w:rsidRPr="00A45962">
              <w:rPr>
                <w:rFonts w:eastAsia="Times New Roman"/>
                <w:b/>
                <w:bCs/>
                <w:color w:val="000000"/>
                <w:bdr w:val="none" w:sz="0" w:space="0" w:color="auto" w:frame="1"/>
              </w:rPr>
              <w:t>)</w:t>
            </w:r>
            <w:r w:rsidRPr="00A45962">
              <w:rPr>
                <w:rFonts w:eastAsia="Times New Roman"/>
                <w:b/>
                <w:bCs/>
                <w:color w:val="000000"/>
                <w:bdr w:val="none" w:sz="0" w:space="0" w:color="auto" w:frame="1"/>
              </w:rPr>
              <w:t xml:space="preserve"> </w:t>
            </w:r>
            <w:proofErr w:type="spellStart"/>
            <w:r w:rsidRPr="00A45962">
              <w:rPr>
                <w:rFonts w:eastAsia="Times New Roman"/>
                <w:b/>
                <w:bCs/>
                <w:color w:val="000000"/>
                <w:bdr w:val="none" w:sz="0" w:space="0" w:color="auto" w:frame="1"/>
              </w:rPr>
              <w:t>б\н</w:t>
            </w:r>
            <w:proofErr w:type="spellEnd"/>
            <w:r w:rsidRPr="00A45962">
              <w:rPr>
                <w:rFonts w:eastAsia="Times New Roman"/>
                <w:b/>
                <w:bCs/>
                <w:color w:val="000000"/>
                <w:bdr w:val="none" w:sz="0" w:space="0" w:color="auto" w:frame="1"/>
              </w:rPr>
              <w:t xml:space="preserve"> от </w:t>
            </w:r>
            <w:r w:rsidR="00BD3002" w:rsidRPr="00BD3002">
              <w:rPr>
                <w:rFonts w:eastAsia="Times New Roman"/>
                <w:b/>
                <w:bCs/>
                <w:color w:val="000000"/>
                <w:bdr w:val="none" w:sz="0" w:space="0" w:color="auto" w:frame="1"/>
              </w:rPr>
              <w:t>17</w:t>
            </w:r>
            <w:r w:rsidRPr="00A45962">
              <w:rPr>
                <w:rFonts w:eastAsia="Times New Roman"/>
                <w:b/>
                <w:bCs/>
                <w:color w:val="000000"/>
                <w:bdr w:val="none" w:sz="0" w:space="0" w:color="auto" w:frame="1"/>
              </w:rPr>
              <w:t>.</w:t>
            </w:r>
            <w:r w:rsidR="0063585B">
              <w:rPr>
                <w:rFonts w:eastAsia="Times New Roman"/>
                <w:b/>
                <w:bCs/>
                <w:color w:val="000000"/>
                <w:bdr w:val="none" w:sz="0" w:space="0" w:color="auto" w:frame="1"/>
              </w:rPr>
              <w:t>0</w:t>
            </w:r>
            <w:r w:rsidR="00BD3002" w:rsidRPr="00BD3002">
              <w:rPr>
                <w:rFonts w:eastAsia="Times New Roman"/>
                <w:b/>
                <w:bCs/>
                <w:color w:val="000000"/>
                <w:bdr w:val="none" w:sz="0" w:space="0" w:color="auto" w:frame="1"/>
              </w:rPr>
              <w:t>8</w:t>
            </w:r>
            <w:r w:rsidRPr="00A45962">
              <w:rPr>
                <w:rFonts w:eastAsia="Times New Roman"/>
                <w:b/>
                <w:bCs/>
                <w:color w:val="000000"/>
                <w:bdr w:val="none" w:sz="0" w:space="0" w:color="auto" w:frame="1"/>
              </w:rPr>
              <w:t>.20</w:t>
            </w:r>
            <w:r w:rsidR="0063585B">
              <w:rPr>
                <w:rFonts w:eastAsia="Times New Roman"/>
                <w:b/>
                <w:bCs/>
                <w:color w:val="000000"/>
                <w:bdr w:val="none" w:sz="0" w:space="0" w:color="auto" w:frame="1"/>
              </w:rPr>
              <w:t>20</w:t>
            </w:r>
            <w:r w:rsidRPr="00A45962">
              <w:rPr>
                <w:rFonts w:eastAsia="Times New Roman"/>
                <w:b/>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BD3002">
            <w:pPr>
              <w:jc w:val="center"/>
            </w:pPr>
            <w:r>
              <w:t>1</w:t>
            </w:r>
            <w:r w:rsidR="00BD3002">
              <w:rPr>
                <w:lang w:val="en-US"/>
              </w:rPr>
              <w:t>7</w:t>
            </w:r>
            <w:r w:rsidR="0063585B">
              <w:t xml:space="preserve"> </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BD3002" w:rsidP="00BD3002">
            <w:pPr>
              <w:jc w:val="center"/>
            </w:pPr>
            <w:r>
              <w:t>августа</w:t>
            </w:r>
            <w:r w:rsidR="007E5825">
              <w:t xml:space="preserve"> </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63585B" w:rsidP="00D82FC7">
            <w:r>
              <w:t>20</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1262B3"/>
    <w:rsid w:val="0017453E"/>
    <w:rsid w:val="00175817"/>
    <w:rsid w:val="001B5828"/>
    <w:rsid w:val="001D4E57"/>
    <w:rsid w:val="002848A9"/>
    <w:rsid w:val="00286EE9"/>
    <w:rsid w:val="002E4F7E"/>
    <w:rsid w:val="00305EC7"/>
    <w:rsid w:val="00333A28"/>
    <w:rsid w:val="003C3A9D"/>
    <w:rsid w:val="00417023"/>
    <w:rsid w:val="00450FA4"/>
    <w:rsid w:val="004D3A3C"/>
    <w:rsid w:val="005811E8"/>
    <w:rsid w:val="005C0D70"/>
    <w:rsid w:val="00621659"/>
    <w:rsid w:val="0063585B"/>
    <w:rsid w:val="00665D82"/>
    <w:rsid w:val="006A5D62"/>
    <w:rsid w:val="006C4AF7"/>
    <w:rsid w:val="0070037A"/>
    <w:rsid w:val="00714849"/>
    <w:rsid w:val="00734F7F"/>
    <w:rsid w:val="007E5825"/>
    <w:rsid w:val="00841C44"/>
    <w:rsid w:val="008833EE"/>
    <w:rsid w:val="008A4295"/>
    <w:rsid w:val="009600CA"/>
    <w:rsid w:val="00A45962"/>
    <w:rsid w:val="00AA157E"/>
    <w:rsid w:val="00B8504A"/>
    <w:rsid w:val="00BD2D98"/>
    <w:rsid w:val="00BD3002"/>
    <w:rsid w:val="00BE48A9"/>
    <w:rsid w:val="00C10E01"/>
    <w:rsid w:val="00D02119"/>
    <w:rsid w:val="00D20774"/>
    <w:rsid w:val="00D561C4"/>
    <w:rsid w:val="00D82FC7"/>
    <w:rsid w:val="00D925C7"/>
    <w:rsid w:val="00DE77A7"/>
    <w:rsid w:val="00DF05C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7</cp:revision>
  <cp:lastPrinted>2020-03-05T11:09:00Z</cp:lastPrinted>
  <dcterms:created xsi:type="dcterms:W3CDTF">2020-03-05T10:42:00Z</dcterms:created>
  <dcterms:modified xsi:type="dcterms:W3CDTF">2020-08-07T07:56:00Z</dcterms:modified>
</cp:coreProperties>
</file>